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22" w:rsidRDefault="000D7722" w:rsidP="000D7722">
      <w:pPr>
        <w:jc w:val="center"/>
        <w:rPr>
          <w:sz w:val="28"/>
          <w:szCs w:val="28"/>
        </w:rPr>
      </w:pPr>
      <w:bookmarkStart w:id="0" w:name="_GoBack"/>
      <w:bookmarkEnd w:id="0"/>
      <w:r>
        <w:rPr>
          <w:sz w:val="28"/>
          <w:szCs w:val="28"/>
        </w:rPr>
        <w:t xml:space="preserve">Office of Criminal Justice Assistance </w:t>
      </w:r>
    </w:p>
    <w:p w:rsidR="000D7722" w:rsidRDefault="002662A9" w:rsidP="000D7722">
      <w:pPr>
        <w:jc w:val="center"/>
        <w:rPr>
          <w:sz w:val="28"/>
          <w:szCs w:val="28"/>
        </w:rPr>
      </w:pPr>
      <w:r>
        <w:rPr>
          <w:sz w:val="28"/>
          <w:szCs w:val="28"/>
        </w:rPr>
        <w:t>2016</w:t>
      </w:r>
      <w:r w:rsidR="000D7722">
        <w:rPr>
          <w:sz w:val="28"/>
          <w:szCs w:val="28"/>
        </w:rPr>
        <w:t xml:space="preserve"> Law Enforcement Funding Recommendations</w:t>
      </w:r>
    </w:p>
    <w:p w:rsidR="006C2BDB" w:rsidRPr="00C749A6" w:rsidRDefault="006C2BDB" w:rsidP="000D7722">
      <w:pPr>
        <w:jc w:val="center"/>
        <w:rPr>
          <w:sz w:val="28"/>
          <w:szCs w:val="28"/>
        </w:rPr>
      </w:pPr>
      <w:r w:rsidRPr="00C749A6">
        <w:rPr>
          <w:sz w:val="28"/>
          <w:szCs w:val="28"/>
        </w:rPr>
        <w:t>For the NV Commission on Off-Highway Vehicles</w:t>
      </w:r>
      <w:r w:rsidR="00C749A6" w:rsidRPr="00C749A6">
        <w:rPr>
          <w:sz w:val="28"/>
          <w:szCs w:val="28"/>
        </w:rPr>
        <w:t xml:space="preserve"> (NCOHV)</w:t>
      </w:r>
    </w:p>
    <w:p w:rsidR="00863A1A" w:rsidRDefault="00863A1A" w:rsidP="00A12884"/>
    <w:p w:rsidR="00863A1A" w:rsidRDefault="00863A1A" w:rsidP="00A12884">
      <w:r>
        <w:t>BACKGROUND</w:t>
      </w:r>
    </w:p>
    <w:p w:rsidR="00A12884" w:rsidRDefault="00A12884" w:rsidP="00A12884">
      <w:r w:rsidRPr="00A12884">
        <w:t>In an effort to comply with NRS 490.069 3.b</w:t>
      </w:r>
      <w:r w:rsidR="002B5535">
        <w:t xml:space="preserve">., which states </w:t>
      </w:r>
      <w:r w:rsidRPr="00A12884">
        <w:t>20 percent of money left in the Fund as of January 1 of each year must be used for law enforcement as recommended by the Office of Cr</w:t>
      </w:r>
      <w:r w:rsidR="002B5535">
        <w:t xml:space="preserve">iminal Justice Assistance (OCJA), the following actions were taken by OCJA. </w:t>
      </w:r>
    </w:p>
    <w:p w:rsidR="002B5535" w:rsidRDefault="002B5535" w:rsidP="001D1E0A">
      <w:pPr>
        <w:pStyle w:val="ListParagraph"/>
        <w:ind w:left="0"/>
      </w:pPr>
    </w:p>
    <w:p w:rsidR="002B5535" w:rsidRPr="009E1E5A" w:rsidRDefault="002B5535" w:rsidP="002B5535">
      <w:r>
        <w:t>Notification Actions:</w:t>
      </w:r>
    </w:p>
    <w:p w:rsidR="002B5535" w:rsidRDefault="002B5535" w:rsidP="002B5535">
      <w:pPr>
        <w:pStyle w:val="ListParagraph"/>
        <w:numPr>
          <w:ilvl w:val="0"/>
          <w:numId w:val="7"/>
        </w:numPr>
      </w:pPr>
      <w:r w:rsidRPr="009E1E5A">
        <w:t xml:space="preserve">Sent </w:t>
      </w:r>
      <w:r>
        <w:t xml:space="preserve">36 notification </w:t>
      </w:r>
      <w:r w:rsidRPr="009E1E5A">
        <w:t xml:space="preserve">letters </w:t>
      </w:r>
      <w:r>
        <w:t xml:space="preserve">to law enforcement agencies (LEAs) </w:t>
      </w:r>
      <w:r w:rsidRPr="009E1E5A">
        <w:t xml:space="preserve">on January 15, </w:t>
      </w:r>
      <w:r w:rsidR="004D3CCC" w:rsidRPr="009E1E5A">
        <w:t>2016</w:t>
      </w:r>
      <w:r w:rsidR="004D3CCC">
        <w:t xml:space="preserve"> regarding the</w:t>
      </w:r>
      <w:r w:rsidR="001F1C21">
        <w:t xml:space="preserve"> availability of the off-highway law enforcement funding solicitation.</w:t>
      </w:r>
    </w:p>
    <w:p w:rsidR="002B5535" w:rsidRDefault="002B5535" w:rsidP="002B5535">
      <w:pPr>
        <w:pStyle w:val="ListParagraph"/>
        <w:numPr>
          <w:ilvl w:val="0"/>
          <w:numId w:val="7"/>
        </w:numPr>
      </w:pPr>
      <w:r>
        <w:t xml:space="preserve">OCJA provided the LEAs with an opportunity to attend application writing training in three locations throughout the state.   Las Vegas, Reno and Elko.   </w:t>
      </w:r>
      <w:r w:rsidR="00C749A6">
        <w:t>A t</w:t>
      </w:r>
      <w:r>
        <w:t xml:space="preserve">raining </w:t>
      </w:r>
      <w:r w:rsidR="00C749A6">
        <w:t>announcement</w:t>
      </w:r>
      <w:r w:rsidRPr="001359BF">
        <w:t xml:space="preserve"> was sent to law enforcement agencies on January 15</w:t>
      </w:r>
      <w:r w:rsidRPr="001359BF">
        <w:rPr>
          <w:vertAlign w:val="superscript"/>
        </w:rPr>
        <w:t>th</w:t>
      </w:r>
      <w:r w:rsidRPr="001359BF">
        <w:t>.</w:t>
      </w:r>
      <w:r>
        <w:t xml:space="preserve">  </w:t>
      </w:r>
    </w:p>
    <w:p w:rsidR="002B5535" w:rsidRPr="001359BF" w:rsidRDefault="002B5535" w:rsidP="002B5535">
      <w:pPr>
        <w:pStyle w:val="ListParagraph"/>
        <w:numPr>
          <w:ilvl w:val="0"/>
          <w:numId w:val="7"/>
        </w:numPr>
      </w:pPr>
      <w:r>
        <w:t>Posted OHV Funding Application documents on OCJA website January 15</w:t>
      </w:r>
      <w:r w:rsidRPr="001359BF">
        <w:rPr>
          <w:vertAlign w:val="superscript"/>
        </w:rPr>
        <w:t>th</w:t>
      </w:r>
    </w:p>
    <w:p w:rsidR="002B5535" w:rsidRPr="001359BF" w:rsidRDefault="00B2333A" w:rsidP="002B5535">
      <w:pPr>
        <w:pStyle w:val="ListParagraph"/>
        <w:numPr>
          <w:ilvl w:val="0"/>
          <w:numId w:val="7"/>
        </w:numPr>
      </w:pPr>
      <w:r>
        <w:t>Sent e</w:t>
      </w:r>
      <w:r w:rsidR="002B5535" w:rsidRPr="009E1E5A">
        <w:t xml:space="preserve">-mails </w:t>
      </w:r>
      <w:r>
        <w:t xml:space="preserve"> to LEAs </w:t>
      </w:r>
      <w:r w:rsidR="002B5535" w:rsidRPr="009E1E5A">
        <w:t>January 20, 2016</w:t>
      </w:r>
      <w:r w:rsidR="00C749A6">
        <w:t xml:space="preserve"> – included </w:t>
      </w:r>
      <w:r w:rsidR="00610E7A">
        <w:t>list serve</w:t>
      </w:r>
      <w:r w:rsidR="00C749A6">
        <w:t xml:space="preserve"> e-mail addresses from the State Grants Office</w:t>
      </w:r>
    </w:p>
    <w:p w:rsidR="002B5535" w:rsidRDefault="002B5535" w:rsidP="002B5535">
      <w:pPr>
        <w:pStyle w:val="ListParagraph"/>
        <w:numPr>
          <w:ilvl w:val="0"/>
          <w:numId w:val="7"/>
        </w:numPr>
      </w:pPr>
      <w:r>
        <w:t>Sent OHV Commission (</w:t>
      </w:r>
      <w:r w:rsidR="00C749A6">
        <w:t>Commissioner</w:t>
      </w:r>
      <w:r>
        <w:t xml:space="preserve"> McKay and Kim</w:t>
      </w:r>
      <w:r w:rsidR="00C749A6">
        <w:t xml:space="preserve"> Miller</w:t>
      </w:r>
      <w:r>
        <w:t>) application documents to post on the OHV website January 20, 2016</w:t>
      </w:r>
    </w:p>
    <w:p w:rsidR="002B5535" w:rsidRPr="001359BF" w:rsidRDefault="002B5535" w:rsidP="002B5535">
      <w:pPr>
        <w:pStyle w:val="ListParagraph"/>
        <w:numPr>
          <w:ilvl w:val="0"/>
          <w:numId w:val="7"/>
        </w:numPr>
      </w:pPr>
      <w:r>
        <w:t xml:space="preserve">Notified the Sheriff &amp; Chief’s Association of the </w:t>
      </w:r>
      <w:r w:rsidR="00B2333A">
        <w:t xml:space="preserve">OHV </w:t>
      </w:r>
      <w:r>
        <w:t>announcement on January 29, 2016</w:t>
      </w:r>
    </w:p>
    <w:p w:rsidR="002B5535" w:rsidRDefault="002B5535" w:rsidP="002B5535">
      <w:pPr>
        <w:pStyle w:val="ListParagraph"/>
        <w:numPr>
          <w:ilvl w:val="0"/>
          <w:numId w:val="7"/>
        </w:numPr>
      </w:pPr>
      <w:r w:rsidRPr="009E1E5A">
        <w:t xml:space="preserve">Sent </w:t>
      </w:r>
      <w:r w:rsidR="00B2333A">
        <w:t>r</w:t>
      </w:r>
      <w:r>
        <w:t xml:space="preserve">eminder </w:t>
      </w:r>
      <w:r w:rsidR="00B2333A">
        <w:t>post c</w:t>
      </w:r>
      <w:r w:rsidRPr="009E1E5A">
        <w:t>ards February 10, 2016</w:t>
      </w:r>
    </w:p>
    <w:p w:rsidR="002B5535" w:rsidRDefault="002B5535" w:rsidP="002B5535"/>
    <w:tbl>
      <w:tblPr>
        <w:tblStyle w:val="TableGrid"/>
        <w:tblW w:w="0" w:type="auto"/>
        <w:tblLook w:val="04A0" w:firstRow="1" w:lastRow="0" w:firstColumn="1" w:lastColumn="0" w:noHBand="0" w:noVBand="1"/>
      </w:tblPr>
      <w:tblGrid>
        <w:gridCol w:w="3124"/>
        <w:gridCol w:w="3114"/>
        <w:gridCol w:w="3112"/>
      </w:tblGrid>
      <w:tr w:rsidR="002B5535" w:rsidRPr="002B5535" w:rsidTr="002B5535">
        <w:tc>
          <w:tcPr>
            <w:tcW w:w="9576" w:type="dxa"/>
            <w:gridSpan w:val="3"/>
          </w:tcPr>
          <w:p w:rsidR="002B5535" w:rsidRPr="002B5535" w:rsidRDefault="002B5535" w:rsidP="004D3CCC">
            <w:pPr>
              <w:rPr>
                <w:rFonts w:ascii="Times New Roman" w:hAnsi="Times New Roman" w:cs="Times New Roman"/>
                <w:sz w:val="24"/>
                <w:szCs w:val="24"/>
              </w:rPr>
            </w:pPr>
            <w:r w:rsidRPr="002B5535">
              <w:rPr>
                <w:rFonts w:ascii="Times New Roman" w:hAnsi="Times New Roman" w:cs="Times New Roman"/>
                <w:sz w:val="24"/>
                <w:szCs w:val="24"/>
              </w:rPr>
              <w:t>Law Enforcement Agencies sent notice of RFA:</w:t>
            </w:r>
          </w:p>
        </w:tc>
      </w:tr>
      <w:tr w:rsidR="002B5535" w:rsidRPr="002B5535" w:rsidTr="002B5535">
        <w:tc>
          <w:tcPr>
            <w:tcW w:w="3192" w:type="dxa"/>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Police Departments</w:t>
            </w:r>
          </w:p>
        </w:tc>
        <w:tc>
          <w:tcPr>
            <w:tcW w:w="3192" w:type="dxa"/>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County Sheriff’s Offices</w:t>
            </w:r>
          </w:p>
        </w:tc>
        <w:tc>
          <w:tcPr>
            <w:tcW w:w="3192" w:type="dxa"/>
          </w:tcPr>
          <w:p w:rsidR="002B5535" w:rsidRPr="002B5535" w:rsidRDefault="002B5535" w:rsidP="002B5535">
            <w:pPr>
              <w:rPr>
                <w:rFonts w:ascii="Times New Roman" w:hAnsi="Times New Roman" w:cs="Times New Roman"/>
                <w:sz w:val="24"/>
                <w:szCs w:val="24"/>
              </w:rPr>
            </w:pPr>
          </w:p>
        </w:tc>
      </w:tr>
      <w:tr w:rsidR="002B5535" w:rsidRPr="002B5535" w:rsidTr="002B5535">
        <w:tc>
          <w:tcPr>
            <w:tcW w:w="3192" w:type="dxa"/>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Boulder City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Nevada State Capitol Police</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Carlin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Duckwater Tribal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Elko City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Ely Shoshone Tribal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Fallon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Henderson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Lovelock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Las Vegas Metro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Mesquite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North Las Vegas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Pyramid Lake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Reno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Sparks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Walker River Tribal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Washoe Tribal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West Wendover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Winnemucca PD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Yerington PD</w:t>
            </w:r>
          </w:p>
        </w:tc>
        <w:tc>
          <w:tcPr>
            <w:tcW w:w="3192" w:type="dxa"/>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Carson City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Churchill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Douglas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Elko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Esmeralda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Eureka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Humboldt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Lander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Lincoln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Lyon Sheriff’s Office</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Mineral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Nye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Pershing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Storey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Washoe SO</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White Pine SO</w:t>
            </w:r>
          </w:p>
          <w:p w:rsidR="002B5535" w:rsidRPr="002B5535" w:rsidRDefault="002B5535" w:rsidP="002B5535">
            <w:pPr>
              <w:rPr>
                <w:rFonts w:ascii="Times New Roman" w:hAnsi="Times New Roman" w:cs="Times New Roman"/>
                <w:sz w:val="24"/>
                <w:szCs w:val="24"/>
              </w:rPr>
            </w:pPr>
          </w:p>
        </w:tc>
        <w:tc>
          <w:tcPr>
            <w:tcW w:w="3192" w:type="dxa"/>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Plus State Grants Office list serve of Public Safety Agencies.</w:t>
            </w:r>
          </w:p>
        </w:tc>
      </w:tr>
    </w:tbl>
    <w:p w:rsidR="002B5535" w:rsidRPr="002B5535" w:rsidRDefault="002B5535" w:rsidP="002B5535">
      <w:pPr>
        <w:pStyle w:val="ListParagraph"/>
        <w:ind w:left="0"/>
      </w:pPr>
      <w:r w:rsidRPr="002B5535">
        <w:lastRenderedPageBreak/>
        <w:t>Law enforcement agencies with no apparent nexus to OHV enforcement were not sent notifications.   This included the Airport A</w:t>
      </w:r>
      <w:r w:rsidR="00B2333A">
        <w:t>uthorities, Court Authorities</w:t>
      </w:r>
      <w:r w:rsidR="00610E7A">
        <w:t xml:space="preserve">, </w:t>
      </w:r>
      <w:r w:rsidR="00610E7A" w:rsidRPr="002B5535">
        <w:t>Legislative</w:t>
      </w:r>
      <w:r w:rsidRPr="002B5535">
        <w:t xml:space="preserve"> Police, School District, University Police, NV Tax</w:t>
      </w:r>
      <w:r w:rsidR="004D3CCC">
        <w:t>i</w:t>
      </w:r>
      <w:r w:rsidRPr="002B5535">
        <w:t xml:space="preserve"> Authority or NV Department of Motor Vehicles, etc.  </w:t>
      </w:r>
    </w:p>
    <w:p w:rsidR="002B5535" w:rsidRPr="002B5535" w:rsidRDefault="002B5535" w:rsidP="002B5535"/>
    <w:tbl>
      <w:tblPr>
        <w:tblStyle w:val="TableGrid"/>
        <w:tblW w:w="0" w:type="auto"/>
        <w:tblLook w:val="04A0" w:firstRow="1" w:lastRow="0" w:firstColumn="1" w:lastColumn="0" w:noHBand="0" w:noVBand="1"/>
      </w:tblPr>
      <w:tblGrid>
        <w:gridCol w:w="3148"/>
        <w:gridCol w:w="3101"/>
        <w:gridCol w:w="3101"/>
      </w:tblGrid>
      <w:tr w:rsidR="002B5535" w:rsidRPr="002B5535" w:rsidTr="002B5535">
        <w:tc>
          <w:tcPr>
            <w:tcW w:w="9576" w:type="dxa"/>
            <w:gridSpan w:val="3"/>
          </w:tcPr>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Law Enforcement Agencies NOT sent notice of RFA, but can access website:</w:t>
            </w:r>
          </w:p>
        </w:tc>
      </w:tr>
      <w:tr w:rsidR="002B5535" w:rsidRPr="002B5535" w:rsidTr="002B5535">
        <w:tc>
          <w:tcPr>
            <w:tcW w:w="3192" w:type="dxa"/>
          </w:tcPr>
          <w:p w:rsidR="002B5535" w:rsidRPr="002B5535" w:rsidRDefault="002B5535" w:rsidP="002B5535">
            <w:pPr>
              <w:rPr>
                <w:rFonts w:ascii="Times New Roman" w:hAnsi="Times New Roman" w:cs="Times New Roman"/>
                <w:sz w:val="24"/>
                <w:szCs w:val="24"/>
              </w:rPr>
            </w:pP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Airport Authorities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Attorney General’s Office</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Corrections/Jail entities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Court entities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College or School PDs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State Dept. of Motor Vehicles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Gaming Control Board</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Legislative Police</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Parole and Probation entities</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 xml:space="preserve">State Dept of Public Safety agencies (NHP, P&amp;P, Investigations) </w:t>
            </w:r>
          </w:p>
          <w:p w:rsidR="002B5535" w:rsidRPr="002B5535" w:rsidRDefault="002B5535" w:rsidP="002B5535">
            <w:pPr>
              <w:rPr>
                <w:rFonts w:ascii="Times New Roman" w:hAnsi="Times New Roman" w:cs="Times New Roman"/>
                <w:sz w:val="24"/>
                <w:szCs w:val="24"/>
              </w:rPr>
            </w:pPr>
            <w:r w:rsidRPr="002B5535">
              <w:rPr>
                <w:rFonts w:ascii="Times New Roman" w:hAnsi="Times New Roman" w:cs="Times New Roman"/>
                <w:sz w:val="24"/>
                <w:szCs w:val="24"/>
              </w:rPr>
              <w:t>Taxi Authorities</w:t>
            </w:r>
          </w:p>
        </w:tc>
        <w:tc>
          <w:tcPr>
            <w:tcW w:w="3192" w:type="dxa"/>
          </w:tcPr>
          <w:p w:rsidR="002B5535" w:rsidRPr="002B5535" w:rsidRDefault="002B5535" w:rsidP="002B5535">
            <w:pPr>
              <w:rPr>
                <w:rFonts w:ascii="Times New Roman" w:hAnsi="Times New Roman" w:cs="Times New Roman"/>
                <w:sz w:val="24"/>
                <w:szCs w:val="24"/>
              </w:rPr>
            </w:pPr>
          </w:p>
        </w:tc>
        <w:tc>
          <w:tcPr>
            <w:tcW w:w="3192" w:type="dxa"/>
          </w:tcPr>
          <w:p w:rsidR="002B5535" w:rsidRPr="002B5535" w:rsidRDefault="002B5535" w:rsidP="002B5535">
            <w:pPr>
              <w:rPr>
                <w:rFonts w:ascii="Times New Roman" w:hAnsi="Times New Roman" w:cs="Times New Roman"/>
                <w:sz w:val="24"/>
                <w:szCs w:val="24"/>
              </w:rPr>
            </w:pPr>
          </w:p>
        </w:tc>
      </w:tr>
    </w:tbl>
    <w:p w:rsidR="002B5535" w:rsidRPr="002B5535" w:rsidRDefault="002B5535" w:rsidP="002B5535"/>
    <w:p w:rsidR="002B5535" w:rsidRDefault="00D03737" w:rsidP="001D1E0A">
      <w:pPr>
        <w:pStyle w:val="ListParagraph"/>
        <w:ind w:left="0"/>
      </w:pPr>
      <w:r>
        <w:t>The a</w:t>
      </w:r>
      <w:r w:rsidR="002B5535">
        <w:t>pplication due da</w:t>
      </w:r>
      <w:r w:rsidR="00C749A6">
        <w:t>te was set at 5:00 p.m., February 26, 2016.</w:t>
      </w:r>
    </w:p>
    <w:p w:rsidR="002B5535" w:rsidRDefault="002B5535" w:rsidP="001D1E0A">
      <w:pPr>
        <w:pStyle w:val="ListParagraph"/>
        <w:ind w:left="0"/>
      </w:pPr>
    </w:p>
    <w:p w:rsidR="002B5535" w:rsidRDefault="00C749A6" w:rsidP="001D1E0A">
      <w:pPr>
        <w:pStyle w:val="ListParagraph"/>
        <w:ind w:left="0"/>
      </w:pPr>
      <w:r>
        <w:t xml:space="preserve">The 2015 </w:t>
      </w:r>
      <w:r w:rsidR="002B5535">
        <w:t>announcement and budget forms were updated with more detailed instructions.  These forms are similar to the grant applications used by OCJA which many of these law enforcement agencies have utilized in the past so there would be some familiarity of the forms.</w:t>
      </w:r>
    </w:p>
    <w:p w:rsidR="002B5535" w:rsidRDefault="002B5535" w:rsidP="001D1E0A">
      <w:pPr>
        <w:pStyle w:val="ListParagraph"/>
        <w:ind w:left="0"/>
      </w:pPr>
    </w:p>
    <w:p w:rsidR="00B2333A" w:rsidRDefault="00B2333A" w:rsidP="001D1E0A">
      <w:pPr>
        <w:pStyle w:val="ListParagraph"/>
        <w:ind w:left="0"/>
      </w:pPr>
      <w:r>
        <w:t xml:space="preserve">Eight applications were received with funding requests totaling $ 292,331. </w:t>
      </w:r>
      <w:r w:rsidR="00C749A6">
        <w:t xml:space="preserve"> Once staff had a chance to</w:t>
      </w:r>
      <w:r w:rsidR="00D03737">
        <w:t xml:space="preserve"> review the budgets, </w:t>
      </w:r>
      <w:r w:rsidR="00C749A6">
        <w:t>several mathematical problems</w:t>
      </w:r>
      <w:r w:rsidR="00D03737">
        <w:t xml:space="preserve"> were noticed</w:t>
      </w:r>
      <w:r w:rsidR="00C749A6">
        <w:t>.   The c</w:t>
      </w:r>
      <w:r w:rsidR="00952595">
        <w:t>orrected funding request was</w:t>
      </w:r>
      <w:r w:rsidR="00C749A6">
        <w:t xml:space="preserve"> $ 286,331.  </w:t>
      </w:r>
      <w:r>
        <w:t xml:space="preserve"> OCJA staff reviewed, scored and discussed the merits </w:t>
      </w:r>
      <w:r w:rsidR="00C749A6">
        <w:t>of the projects.   P</w:t>
      </w:r>
      <w:r>
        <w:t xml:space="preserve">rogress reports from the State Grants Office and the OHV Commission </w:t>
      </w:r>
      <w:r w:rsidR="00C749A6">
        <w:t>were r</w:t>
      </w:r>
      <w:r w:rsidR="00863A1A">
        <w:t>equested for review.   L</w:t>
      </w:r>
      <w:r>
        <w:t xml:space="preserve">ast year’s agencies were not required to submit the progress reports, only the financial reports.   The lack of data on outcomes and progress from the previous awards provides no baselines, no indication of how agencies are progressing on their stated objectives and no historical work performance measures on which to base future funding considerations.  </w:t>
      </w:r>
    </w:p>
    <w:p w:rsidR="002B5535" w:rsidRDefault="002B5535" w:rsidP="001D1E0A">
      <w:pPr>
        <w:pStyle w:val="ListParagraph"/>
        <w:ind w:left="0"/>
      </w:pPr>
    </w:p>
    <w:p w:rsidR="00DF56DE" w:rsidRDefault="00DF56DE" w:rsidP="001D1E0A">
      <w:pPr>
        <w:pStyle w:val="ListParagraph"/>
        <w:ind w:left="0"/>
      </w:pPr>
    </w:p>
    <w:p w:rsidR="00B2333A" w:rsidRDefault="00863A1A" w:rsidP="001D1E0A">
      <w:pPr>
        <w:pStyle w:val="ListParagraph"/>
        <w:ind w:left="0"/>
      </w:pPr>
      <w:r>
        <w:t xml:space="preserve">Last year, OCJA </w:t>
      </w:r>
      <w:r w:rsidR="00B2333A">
        <w:t>provided recommendations</w:t>
      </w:r>
      <w:r w:rsidR="00035FA3">
        <w:t xml:space="preserve"> for the Commission to require </w:t>
      </w:r>
      <w:r w:rsidR="00B2333A">
        <w:t>progress report</w:t>
      </w:r>
      <w:r w:rsidR="00035FA3">
        <w:t>s</w:t>
      </w:r>
      <w:r w:rsidR="00B2333A">
        <w:t xml:space="preserve"> and </w:t>
      </w:r>
      <w:r w:rsidR="00035FA3">
        <w:t xml:space="preserve">a final evaluation report from funded agencies.   </w:t>
      </w:r>
      <w:r>
        <w:t xml:space="preserve">These recommendations are being provided again. </w:t>
      </w:r>
      <w:r w:rsidR="00035FA3">
        <w:t xml:space="preserve">  </w:t>
      </w:r>
    </w:p>
    <w:p w:rsidR="00035FA3" w:rsidRDefault="00035FA3"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p>
    <w:p w:rsidR="00863A1A" w:rsidRDefault="00863A1A" w:rsidP="00035FA3">
      <w:pPr>
        <w:tabs>
          <w:tab w:val="left" w:pos="2640"/>
        </w:tabs>
      </w:pPr>
      <w:r>
        <w:lastRenderedPageBreak/>
        <w:t>RECOMMENDATIONS</w:t>
      </w:r>
    </w:p>
    <w:p w:rsidR="00863A1A" w:rsidRDefault="00863A1A" w:rsidP="00035FA3">
      <w:pPr>
        <w:tabs>
          <w:tab w:val="left" w:pos="2640"/>
        </w:tabs>
      </w:pPr>
    </w:p>
    <w:p w:rsidR="00467FDC" w:rsidRDefault="00035FA3" w:rsidP="00035FA3">
      <w:r>
        <w:t>OCJA is recom</w:t>
      </w:r>
      <w:r w:rsidR="00C749A6">
        <w:t>mending seven of the eight</w:t>
      </w:r>
      <w:r>
        <w:t xml:space="preserve"> applications be awarded funding</w:t>
      </w:r>
      <w:r w:rsidR="00C749A6">
        <w:t>.</w:t>
      </w:r>
      <w:r>
        <w:t xml:space="preserve"> The one application we are not recommending funding for stated no OHV activities</w:t>
      </w:r>
      <w:r w:rsidR="00C749A6">
        <w:t xml:space="preserve"> to be conducted.  </w:t>
      </w:r>
      <w:r w:rsidR="00467FDC">
        <w:t xml:space="preserve">Staff researched prices from the 1122 GSA Federal program, local dealer internet </w:t>
      </w:r>
      <w:r w:rsidR="00B414E2">
        <w:t xml:space="preserve">searches and reviewed the specifications received </w:t>
      </w:r>
      <w:r w:rsidR="00467FDC">
        <w:t>from other states’ projects last year. Commissioner Gerow was forwarded the equipment listing and prices requested for his review, as he has expertise in the ATV/OHV vehicles.</w:t>
      </w:r>
    </w:p>
    <w:p w:rsidR="00035FA3" w:rsidRDefault="00035FA3" w:rsidP="00035FA3"/>
    <w:p w:rsidR="00035FA3" w:rsidRDefault="00035FA3" w:rsidP="00035FA3">
      <w:r>
        <w:t>OCJA is recommending that all awarded agencies, regardless the funding need or the amount awarded, be required to:</w:t>
      </w:r>
    </w:p>
    <w:p w:rsidR="00035FA3" w:rsidRDefault="00035FA3" w:rsidP="00035FA3"/>
    <w:p w:rsidR="00035FA3" w:rsidRDefault="00035FA3" w:rsidP="00035FA3">
      <w:pPr>
        <w:pStyle w:val="ListParagraph"/>
        <w:numPr>
          <w:ilvl w:val="0"/>
          <w:numId w:val="5"/>
        </w:numPr>
      </w:pPr>
      <w:r>
        <w:t>Sign program and fiscal assurances when signing funding award agreement.  (OCJA can provide template as can the State Grants Office.)</w:t>
      </w:r>
    </w:p>
    <w:p w:rsidR="00035FA3" w:rsidRDefault="00035FA3" w:rsidP="00035FA3">
      <w:pPr>
        <w:pStyle w:val="ListParagraph"/>
        <w:numPr>
          <w:ilvl w:val="0"/>
          <w:numId w:val="5"/>
        </w:numPr>
      </w:pPr>
      <w:r>
        <w:t xml:space="preserve">Sign program assurance which includes a statement that the agency will provide sufficient maintenance on OHV funded equipment for the life of the equipment. </w:t>
      </w:r>
    </w:p>
    <w:p w:rsidR="00035FA3" w:rsidRPr="006D3F70" w:rsidRDefault="00035FA3" w:rsidP="00035FA3">
      <w:pPr>
        <w:pStyle w:val="ListParagraph"/>
        <w:numPr>
          <w:ilvl w:val="0"/>
          <w:numId w:val="5"/>
        </w:numPr>
      </w:pPr>
      <w:r>
        <w:t>Require agencies to use standard purchasing procedures by attempting to obtain three competitive quotes prior to purchasing equipment.  Purchasing decisions must be made</w:t>
      </w:r>
      <w:r>
        <w:rPr>
          <w:sz w:val="23"/>
          <w:szCs w:val="23"/>
        </w:rPr>
        <w:t xml:space="preserve"> to the lowest "responsible and responsive" bidder whose quote meets the requirements and criteria set forth in the quote request.  Lowest responsible and responsive bidder may be judged on the basis of:  price, specifications, qualifications, delivery date, quality, and best interest of the public.</w:t>
      </w:r>
    </w:p>
    <w:p w:rsidR="006D3F70" w:rsidRDefault="006D3F70" w:rsidP="006D3F70">
      <w:pPr>
        <w:pStyle w:val="ListParagraph"/>
        <w:numPr>
          <w:ilvl w:val="0"/>
          <w:numId w:val="5"/>
        </w:numPr>
      </w:pPr>
      <w:r>
        <w:t>Submit quarterly progress reports providing the following information for at least one year with a cumulative final evaluation report at the end of the project with the following minimum data:</w:t>
      </w:r>
    </w:p>
    <w:p w:rsidR="00035FA3" w:rsidRDefault="00035FA3" w:rsidP="00035FA3"/>
    <w:p w:rsidR="00035FA3" w:rsidRDefault="00035FA3" w:rsidP="00035FA3">
      <w:pPr>
        <w:pStyle w:val="ListParagraph"/>
        <w:numPr>
          <w:ilvl w:val="0"/>
          <w:numId w:val="1"/>
        </w:numPr>
      </w:pPr>
      <w:r>
        <w:t># of contacts made regarding OHV registrations</w:t>
      </w:r>
    </w:p>
    <w:p w:rsidR="00952595" w:rsidRDefault="00952595" w:rsidP="00035FA3">
      <w:pPr>
        <w:pStyle w:val="ListParagraph"/>
        <w:numPr>
          <w:ilvl w:val="0"/>
          <w:numId w:val="1"/>
        </w:numPr>
      </w:pPr>
      <w:r>
        <w:t># of VIN inspections, if applicable</w:t>
      </w:r>
    </w:p>
    <w:p w:rsidR="00035FA3" w:rsidRDefault="00035FA3" w:rsidP="00035FA3">
      <w:pPr>
        <w:pStyle w:val="ListParagraph"/>
        <w:numPr>
          <w:ilvl w:val="0"/>
          <w:numId w:val="1"/>
        </w:numPr>
      </w:pPr>
      <w:r>
        <w:t># of citations issued on OHV registrations, laws, rules, etc.</w:t>
      </w:r>
    </w:p>
    <w:p w:rsidR="00035FA3" w:rsidRDefault="00035FA3" w:rsidP="00035FA3">
      <w:pPr>
        <w:pStyle w:val="ListParagraph"/>
        <w:numPr>
          <w:ilvl w:val="0"/>
          <w:numId w:val="1"/>
        </w:numPr>
      </w:pPr>
      <w:r>
        <w:t># of instances agency provided edu</w:t>
      </w:r>
      <w:r w:rsidR="006422E8">
        <w:t xml:space="preserve">cation on OHV laws and safety.  Number of </w:t>
      </w:r>
      <w:r>
        <w:t xml:space="preserve">vehicle stops and actual training/educational </w:t>
      </w:r>
      <w:r w:rsidR="006422E8">
        <w:t>events, i.e., workshops/fairs, etc.</w:t>
      </w:r>
    </w:p>
    <w:p w:rsidR="00035FA3" w:rsidRDefault="00035FA3" w:rsidP="00035FA3">
      <w:pPr>
        <w:pStyle w:val="ListParagraph"/>
        <w:numPr>
          <w:ilvl w:val="0"/>
          <w:numId w:val="1"/>
        </w:numPr>
      </w:pPr>
      <w:r>
        <w:t># of hours equipment was utilized or hours worked on OHV activities;  (salary/overtime)</w:t>
      </w:r>
    </w:p>
    <w:p w:rsidR="00035FA3" w:rsidRDefault="00035FA3" w:rsidP="00035FA3">
      <w:pPr>
        <w:pStyle w:val="ListParagraph"/>
        <w:numPr>
          <w:ilvl w:val="0"/>
          <w:numId w:val="1"/>
        </w:numPr>
      </w:pPr>
      <w:r>
        <w:t># of service calls received</w:t>
      </w:r>
    </w:p>
    <w:p w:rsidR="006422E8" w:rsidRDefault="00035FA3" w:rsidP="006422E8">
      <w:pPr>
        <w:pStyle w:val="ListParagraph"/>
        <w:numPr>
          <w:ilvl w:val="0"/>
          <w:numId w:val="1"/>
        </w:numPr>
        <w:rPr>
          <w:b/>
        </w:rPr>
      </w:pPr>
      <w:r>
        <w:t>Summary analysis of calls for service to identify problem areas/activities</w:t>
      </w:r>
      <w:r w:rsidR="006422E8" w:rsidRPr="006422E8">
        <w:rPr>
          <w:b/>
        </w:rPr>
        <w:t xml:space="preserve"> </w:t>
      </w:r>
    </w:p>
    <w:p w:rsidR="006422E8" w:rsidRPr="00805F9F" w:rsidRDefault="006422E8" w:rsidP="006422E8">
      <w:pPr>
        <w:pStyle w:val="ListParagraph"/>
        <w:numPr>
          <w:ilvl w:val="0"/>
          <w:numId w:val="1"/>
        </w:numPr>
        <w:rPr>
          <w:b/>
        </w:rPr>
      </w:pPr>
      <w:r w:rsidRPr="00805F9F">
        <w:rPr>
          <w:b/>
        </w:rPr>
        <w:t>Any other goals and objectives the agencies</w:t>
      </w:r>
      <w:r>
        <w:rPr>
          <w:b/>
        </w:rPr>
        <w:t xml:space="preserve"> specifically listed in their applications</w:t>
      </w:r>
      <w:r w:rsidRPr="00805F9F">
        <w:rPr>
          <w:b/>
        </w:rPr>
        <w:t xml:space="preserve">.  </w:t>
      </w:r>
    </w:p>
    <w:p w:rsidR="00035FA3" w:rsidRDefault="00035FA3" w:rsidP="00467FDC">
      <w:pPr>
        <w:pStyle w:val="ListParagraph"/>
      </w:pPr>
    </w:p>
    <w:p w:rsidR="006422E8" w:rsidRDefault="006422E8" w:rsidP="006422E8">
      <w:r>
        <w:t xml:space="preserve">Obtainment of the information listed above will assist the Commission and OCJA with future funding considerations, and will provide documentation of proper use of equipment and overtime.  The reports should provide enough information to assess whether or not the funds are being utilized in providing efficient and timely activities, and are obtaining effective outcomes in accordance with approved budget and the intent of the Commission. </w:t>
      </w:r>
    </w:p>
    <w:p w:rsidR="006422E8" w:rsidRDefault="006422E8" w:rsidP="00035FA3"/>
    <w:p w:rsidR="006422E8" w:rsidRDefault="006422E8" w:rsidP="00035FA3">
      <w:r>
        <w:t xml:space="preserve">OCJA continues to recommend </w:t>
      </w:r>
      <w:r w:rsidR="00035FA3">
        <w:t>that standard awarding practices be follo</w:t>
      </w:r>
      <w:r w:rsidR="00035FA3" w:rsidRPr="00D145E2">
        <w:t>wed by</w:t>
      </w:r>
      <w:r w:rsidR="00035FA3">
        <w:t xml:space="preserve"> </w:t>
      </w:r>
      <w:r w:rsidR="00035FA3" w:rsidRPr="00D145E2">
        <w:t xml:space="preserve">funding with </w:t>
      </w:r>
      <w:r>
        <w:t>any remaining funding from the</w:t>
      </w:r>
      <w:r w:rsidR="00035FA3" w:rsidRPr="00D145E2">
        <w:t xml:space="preserve"> </w:t>
      </w:r>
      <w:r w:rsidR="006D3F70">
        <w:t xml:space="preserve">previous year </w:t>
      </w:r>
      <w:r>
        <w:t xml:space="preserve">(2015) </w:t>
      </w:r>
      <w:r w:rsidR="00035FA3">
        <w:t xml:space="preserve">beginning with </w:t>
      </w:r>
      <w:r w:rsidR="00035FA3" w:rsidRPr="00D145E2">
        <w:t>the highest scoring</w:t>
      </w:r>
      <w:r>
        <w:t xml:space="preserve"> applicant(s) and when that year’s </w:t>
      </w:r>
      <w:r w:rsidR="00035FA3" w:rsidRPr="00D145E2">
        <w:t>limit is rea</w:t>
      </w:r>
      <w:r>
        <w:t xml:space="preserve">ched, </w:t>
      </w:r>
      <w:r w:rsidR="00610E7A">
        <w:t>and then</w:t>
      </w:r>
      <w:r>
        <w:t xml:space="preserve"> fund with the next years funding (2016) </w:t>
      </w:r>
      <w:r w:rsidR="00035FA3" w:rsidRPr="00D145E2">
        <w:t>beginning with the remaining highest scoring applicant(s) until all available funding is exhausted.</w:t>
      </w:r>
      <w:r w:rsidR="00035FA3">
        <w:t xml:space="preserve">   </w:t>
      </w:r>
    </w:p>
    <w:p w:rsidR="006422E8" w:rsidRDefault="006422E8" w:rsidP="00035FA3"/>
    <w:p w:rsidR="00035FA3" w:rsidRDefault="00035FA3" w:rsidP="00035FA3">
      <w:r>
        <w:t>The following are not actual recommendations by OCJA, but suggestions the Commission may wish to consider:</w:t>
      </w:r>
    </w:p>
    <w:p w:rsidR="00035FA3" w:rsidRDefault="00035FA3" w:rsidP="00035FA3"/>
    <w:p w:rsidR="00035FA3" w:rsidRDefault="00035FA3" w:rsidP="00035FA3">
      <w:pPr>
        <w:pStyle w:val="ListParagraph"/>
        <w:numPr>
          <w:ilvl w:val="0"/>
          <w:numId w:val="4"/>
        </w:numPr>
      </w:pPr>
      <w:r>
        <w:t xml:space="preserve">Making a statement in the conditions of award expressing the Commission’s expectation that the funded activities be utilized primarily for OHV activities with an understanding that they may be used for other law enforcement activities secondarily.   </w:t>
      </w:r>
    </w:p>
    <w:p w:rsidR="00035FA3" w:rsidRDefault="00035FA3" w:rsidP="00035FA3">
      <w:pPr>
        <w:pStyle w:val="ListParagraph"/>
        <w:numPr>
          <w:ilvl w:val="0"/>
          <w:numId w:val="4"/>
        </w:numPr>
      </w:pPr>
      <w:r>
        <w:t>Request agencies to track the type of activity to the next level by having them provide the following information:</w:t>
      </w:r>
    </w:p>
    <w:p w:rsidR="00035FA3" w:rsidRDefault="00035FA3" w:rsidP="00035FA3"/>
    <w:p w:rsidR="00035FA3" w:rsidRDefault="00035FA3" w:rsidP="00035FA3">
      <w:pPr>
        <w:ind w:firstLine="720"/>
      </w:pPr>
      <w:r>
        <w:t>The number of times equipment or personnel time is used on the following activities:</w:t>
      </w:r>
    </w:p>
    <w:p w:rsidR="00035FA3" w:rsidRDefault="00035FA3" w:rsidP="00035FA3"/>
    <w:p w:rsidR="00035FA3" w:rsidRDefault="00035FA3" w:rsidP="00035FA3">
      <w:pPr>
        <w:pStyle w:val="ListParagraph"/>
        <w:numPr>
          <w:ilvl w:val="2"/>
          <w:numId w:val="1"/>
        </w:numPr>
      </w:pPr>
      <w:r>
        <w:t>Drug related activities</w:t>
      </w:r>
    </w:p>
    <w:p w:rsidR="00035FA3" w:rsidRDefault="00035FA3" w:rsidP="00035FA3">
      <w:pPr>
        <w:pStyle w:val="ListParagraph"/>
        <w:numPr>
          <w:ilvl w:val="2"/>
          <w:numId w:val="1"/>
        </w:numPr>
      </w:pPr>
      <w:r>
        <w:t>Emergencies/search and rescues</w:t>
      </w:r>
    </w:p>
    <w:p w:rsidR="00035FA3" w:rsidRDefault="00035FA3" w:rsidP="00035FA3">
      <w:pPr>
        <w:pStyle w:val="ListParagraph"/>
        <w:numPr>
          <w:ilvl w:val="2"/>
          <w:numId w:val="1"/>
        </w:numPr>
      </w:pPr>
      <w:r>
        <w:t>Illegal dumps</w:t>
      </w:r>
    </w:p>
    <w:p w:rsidR="00035FA3" w:rsidRDefault="00035FA3" w:rsidP="00035FA3">
      <w:pPr>
        <w:pStyle w:val="ListParagraph"/>
        <w:numPr>
          <w:ilvl w:val="2"/>
          <w:numId w:val="1"/>
        </w:numPr>
      </w:pPr>
      <w:r>
        <w:t>Target shootings</w:t>
      </w:r>
    </w:p>
    <w:p w:rsidR="00035FA3" w:rsidRDefault="00035FA3" w:rsidP="00035FA3">
      <w:pPr>
        <w:pStyle w:val="ListParagraph"/>
        <w:numPr>
          <w:ilvl w:val="2"/>
          <w:numId w:val="1"/>
        </w:numPr>
      </w:pPr>
      <w:r>
        <w:t xml:space="preserve">Riding in unauthorized areas </w:t>
      </w:r>
    </w:p>
    <w:p w:rsidR="00035FA3" w:rsidRDefault="00035FA3" w:rsidP="00035FA3">
      <w:pPr>
        <w:pStyle w:val="ListParagraph"/>
        <w:numPr>
          <w:ilvl w:val="2"/>
          <w:numId w:val="1"/>
        </w:numPr>
      </w:pPr>
      <w:r>
        <w:t>Destruction of lands</w:t>
      </w:r>
    </w:p>
    <w:p w:rsidR="00035FA3" w:rsidRDefault="00035FA3" w:rsidP="00035FA3">
      <w:pPr>
        <w:pStyle w:val="ListParagraph"/>
        <w:numPr>
          <w:ilvl w:val="2"/>
          <w:numId w:val="1"/>
        </w:numPr>
      </w:pPr>
      <w:r>
        <w:t>Educate for laws/safety</w:t>
      </w:r>
    </w:p>
    <w:p w:rsidR="00035FA3" w:rsidRDefault="00035FA3" w:rsidP="00035FA3">
      <w:pPr>
        <w:pStyle w:val="ListParagraph"/>
        <w:numPr>
          <w:ilvl w:val="2"/>
          <w:numId w:val="1"/>
        </w:numPr>
      </w:pPr>
      <w:r>
        <w:t>Impaired drivers</w:t>
      </w:r>
    </w:p>
    <w:p w:rsidR="00035FA3" w:rsidRDefault="00035FA3" w:rsidP="00035FA3">
      <w:pPr>
        <w:pStyle w:val="ListParagraph"/>
        <w:numPr>
          <w:ilvl w:val="2"/>
          <w:numId w:val="1"/>
        </w:numPr>
      </w:pPr>
      <w:r>
        <w:t>Other</w:t>
      </w:r>
    </w:p>
    <w:p w:rsidR="00035FA3" w:rsidRDefault="00035FA3" w:rsidP="00035FA3"/>
    <w:p w:rsidR="00035FA3" w:rsidRDefault="00035FA3" w:rsidP="00035FA3">
      <w:pPr>
        <w:pStyle w:val="ListParagraph"/>
        <w:numPr>
          <w:ilvl w:val="0"/>
          <w:numId w:val="3"/>
        </w:numPr>
      </w:pPr>
      <w:r>
        <w:t>Requiring funded agencies to designate a person to evaluate the project, as not all agencies addressed this in their applications. This may be the contact person listed on the application or a staff member with higher level of responsibility.</w:t>
      </w:r>
    </w:p>
    <w:p w:rsidR="00035FA3" w:rsidRDefault="00035FA3" w:rsidP="00035FA3">
      <w:pPr>
        <w:pStyle w:val="ListParagraph"/>
        <w:numPr>
          <w:ilvl w:val="0"/>
          <w:numId w:val="3"/>
        </w:numPr>
      </w:pPr>
      <w:r>
        <w:t xml:space="preserve">Requiring agencies to adhere signage to equipment purchased with NCOHV funds which state something similar to “This project was supported with funding by the Nevada Commission of Off-Highway Vehicles.”  The size of the signage would be up to the Commission.   </w:t>
      </w:r>
    </w:p>
    <w:p w:rsidR="00035FA3" w:rsidRDefault="00035FA3" w:rsidP="00035FA3">
      <w:pPr>
        <w:ind w:left="360"/>
      </w:pPr>
    </w:p>
    <w:p w:rsidR="00035FA3" w:rsidRDefault="00035FA3" w:rsidP="00035FA3">
      <w:r>
        <w:t xml:space="preserve">The electronic versions of the applications have been placed on a flash-drive for the Commissions use.  The original applications along with two copies have been provided to the Chairman.   </w:t>
      </w:r>
    </w:p>
    <w:p w:rsidR="006D3F70" w:rsidRDefault="006D3F70" w:rsidP="00035FA3"/>
    <w:p w:rsidR="006D3F70" w:rsidRDefault="006D3F70" w:rsidP="006D3F70">
      <w:r>
        <w:t>The recommended funding amounts are attached.</w:t>
      </w:r>
    </w:p>
    <w:p w:rsidR="00035FA3" w:rsidRPr="00D145E2" w:rsidRDefault="00035FA3" w:rsidP="00035FA3"/>
    <w:p w:rsidR="00035FA3" w:rsidRDefault="00035FA3" w:rsidP="00035FA3">
      <w:r>
        <w:t>Presented to the NV Commission on Off-Highway Vehicles</w:t>
      </w:r>
    </w:p>
    <w:p w:rsidR="00035FA3" w:rsidRDefault="006422E8" w:rsidP="00035FA3">
      <w:r>
        <w:t>March 24, 2016</w:t>
      </w:r>
    </w:p>
    <w:p w:rsidR="00035FA3" w:rsidRPr="00E319ED" w:rsidRDefault="00035FA3" w:rsidP="00035FA3"/>
    <w:p w:rsidR="00035FA3" w:rsidRPr="00E319ED" w:rsidRDefault="00035FA3" w:rsidP="00035FA3">
      <w:r w:rsidRPr="00E319ED">
        <w:t>Charise Whitt, Administrator</w:t>
      </w:r>
    </w:p>
    <w:p w:rsidR="00035FA3" w:rsidRDefault="00035FA3" w:rsidP="00035FA3">
      <w:r w:rsidRPr="00E319ED">
        <w:t>Office of Criminal Justice Assistance</w:t>
      </w:r>
    </w:p>
    <w:p w:rsidR="00A77334" w:rsidRDefault="00A77334" w:rsidP="00035FA3"/>
    <w:p w:rsidR="00A77334" w:rsidRDefault="00A77334" w:rsidP="00035FA3"/>
    <w:p w:rsidR="002B5535" w:rsidRDefault="00A77334" w:rsidP="00863A1A">
      <w:r w:rsidRPr="00A77334">
        <w:rPr>
          <w:color w:val="808080" w:themeColor="background1" w:themeShade="80"/>
          <w:sz w:val="18"/>
          <w:szCs w:val="18"/>
        </w:rPr>
        <w:t>Ohv</w:t>
      </w:r>
      <w:r w:rsidR="00863A1A">
        <w:rPr>
          <w:color w:val="808080" w:themeColor="background1" w:themeShade="80"/>
          <w:sz w:val="18"/>
          <w:szCs w:val="18"/>
        </w:rPr>
        <w:t>/2016/recommendationsummary3</w:t>
      </w:r>
      <w:r w:rsidRPr="00A77334">
        <w:rPr>
          <w:color w:val="808080" w:themeColor="background1" w:themeShade="80"/>
          <w:sz w:val="18"/>
          <w:szCs w:val="18"/>
        </w:rPr>
        <w:t>-2016</w:t>
      </w:r>
    </w:p>
    <w:p w:rsidR="002B5535" w:rsidRDefault="002B5535" w:rsidP="001D1E0A">
      <w:pPr>
        <w:pStyle w:val="ListParagraph"/>
        <w:ind w:left="0"/>
      </w:pPr>
    </w:p>
    <w:p w:rsidR="002B5535" w:rsidRDefault="002B5535" w:rsidP="001D1E0A">
      <w:pPr>
        <w:pStyle w:val="ListParagraph"/>
        <w:ind w:left="0"/>
      </w:pPr>
    </w:p>
    <w:p w:rsidR="002B5535" w:rsidRDefault="002B5535" w:rsidP="001D1E0A">
      <w:pPr>
        <w:pStyle w:val="ListParagraph"/>
        <w:ind w:left="0"/>
      </w:pPr>
    </w:p>
    <w:p w:rsidR="00B45FDF" w:rsidRDefault="00B45FDF"/>
    <w:sectPr w:rsidR="00B45FDF" w:rsidSect="00863A1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66" w:rsidRDefault="008E4066" w:rsidP="00BA2A79">
      <w:r>
        <w:separator/>
      </w:r>
    </w:p>
  </w:endnote>
  <w:endnote w:type="continuationSeparator" w:id="0">
    <w:p w:rsidR="008E4066" w:rsidRDefault="008E4066" w:rsidP="00BA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55245"/>
      <w:docPartObj>
        <w:docPartGallery w:val="Page Numbers (Bottom of Page)"/>
        <w:docPartUnique/>
      </w:docPartObj>
    </w:sdtPr>
    <w:sdtEndPr/>
    <w:sdtContent>
      <w:p w:rsidR="001F1C21" w:rsidRDefault="007A577B">
        <w:pPr>
          <w:pStyle w:val="Footer"/>
          <w:jc w:val="center"/>
        </w:pPr>
        <w:r w:rsidRPr="00F92BE7">
          <w:rPr>
            <w:sz w:val="20"/>
            <w:szCs w:val="20"/>
          </w:rPr>
          <w:fldChar w:fldCharType="begin"/>
        </w:r>
        <w:r w:rsidR="001F1C21" w:rsidRPr="00F92BE7">
          <w:rPr>
            <w:sz w:val="20"/>
            <w:szCs w:val="20"/>
          </w:rPr>
          <w:instrText xml:space="preserve"> PAGE   \* MERGEFORMAT </w:instrText>
        </w:r>
        <w:r w:rsidRPr="00F92BE7">
          <w:rPr>
            <w:sz w:val="20"/>
            <w:szCs w:val="20"/>
          </w:rPr>
          <w:fldChar w:fldCharType="separate"/>
        </w:r>
        <w:r w:rsidR="00844AAA">
          <w:rPr>
            <w:noProof/>
            <w:sz w:val="20"/>
            <w:szCs w:val="20"/>
          </w:rPr>
          <w:t>1</w:t>
        </w:r>
        <w:r w:rsidRPr="00F92BE7">
          <w:rPr>
            <w:sz w:val="20"/>
            <w:szCs w:val="20"/>
          </w:rPr>
          <w:fldChar w:fldCharType="end"/>
        </w:r>
      </w:p>
    </w:sdtContent>
  </w:sdt>
  <w:p w:rsidR="001F1C21" w:rsidRDefault="001F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66" w:rsidRDefault="008E4066" w:rsidP="00BA2A79">
      <w:r>
        <w:separator/>
      </w:r>
    </w:p>
  </w:footnote>
  <w:footnote w:type="continuationSeparator" w:id="0">
    <w:p w:rsidR="008E4066" w:rsidRDefault="008E4066" w:rsidP="00BA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7D8D"/>
    <w:multiLevelType w:val="hybridMultilevel"/>
    <w:tmpl w:val="9C087CE4"/>
    <w:lvl w:ilvl="0" w:tplc="5622E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7C02"/>
    <w:multiLevelType w:val="hybridMultilevel"/>
    <w:tmpl w:val="40A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62AE"/>
    <w:multiLevelType w:val="hybridMultilevel"/>
    <w:tmpl w:val="D632BC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BD94D26"/>
    <w:multiLevelType w:val="hybridMultilevel"/>
    <w:tmpl w:val="F06CFE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BE64624"/>
    <w:multiLevelType w:val="hybridMultilevel"/>
    <w:tmpl w:val="0BD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F96"/>
    <w:multiLevelType w:val="hybridMultilevel"/>
    <w:tmpl w:val="A5F67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F3EA9"/>
    <w:multiLevelType w:val="hybridMultilevel"/>
    <w:tmpl w:val="C03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F6099"/>
    <w:multiLevelType w:val="hybridMultilevel"/>
    <w:tmpl w:val="48B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726BC"/>
    <w:multiLevelType w:val="hybridMultilevel"/>
    <w:tmpl w:val="760E8128"/>
    <w:lvl w:ilvl="0" w:tplc="5622E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AD"/>
    <w:rsid w:val="00005EAB"/>
    <w:rsid w:val="00035FA3"/>
    <w:rsid w:val="00050CE4"/>
    <w:rsid w:val="000D7722"/>
    <w:rsid w:val="00156EB2"/>
    <w:rsid w:val="0016413F"/>
    <w:rsid w:val="00172E18"/>
    <w:rsid w:val="001B3046"/>
    <w:rsid w:val="001C53CE"/>
    <w:rsid w:val="001D16C4"/>
    <w:rsid w:val="001D1E0A"/>
    <w:rsid w:val="001F1C21"/>
    <w:rsid w:val="00206A33"/>
    <w:rsid w:val="00227F4F"/>
    <w:rsid w:val="002662A9"/>
    <w:rsid w:val="00293019"/>
    <w:rsid w:val="002B5535"/>
    <w:rsid w:val="002D4491"/>
    <w:rsid w:val="00317CC4"/>
    <w:rsid w:val="003719EA"/>
    <w:rsid w:val="00376671"/>
    <w:rsid w:val="00393D71"/>
    <w:rsid w:val="00431CCC"/>
    <w:rsid w:val="00464EF7"/>
    <w:rsid w:val="00467FDC"/>
    <w:rsid w:val="00496FBA"/>
    <w:rsid w:val="004B02D4"/>
    <w:rsid w:val="004C16CC"/>
    <w:rsid w:val="004D3CCC"/>
    <w:rsid w:val="005A22BC"/>
    <w:rsid w:val="005C4DBB"/>
    <w:rsid w:val="005F0ABB"/>
    <w:rsid w:val="00604130"/>
    <w:rsid w:val="00610E7A"/>
    <w:rsid w:val="006339E0"/>
    <w:rsid w:val="006422E8"/>
    <w:rsid w:val="00666C19"/>
    <w:rsid w:val="00677E86"/>
    <w:rsid w:val="006B0AC3"/>
    <w:rsid w:val="006C2BDB"/>
    <w:rsid w:val="006D3F70"/>
    <w:rsid w:val="006E0745"/>
    <w:rsid w:val="0076352F"/>
    <w:rsid w:val="007A577B"/>
    <w:rsid w:val="00844AAA"/>
    <w:rsid w:val="00857C96"/>
    <w:rsid w:val="00863A1A"/>
    <w:rsid w:val="008C64E6"/>
    <w:rsid w:val="008D6A7C"/>
    <w:rsid w:val="008D7F0F"/>
    <w:rsid w:val="008E4066"/>
    <w:rsid w:val="00931669"/>
    <w:rsid w:val="00952595"/>
    <w:rsid w:val="009E3CBD"/>
    <w:rsid w:val="009E5E0E"/>
    <w:rsid w:val="00A07BEE"/>
    <w:rsid w:val="00A12884"/>
    <w:rsid w:val="00A32D89"/>
    <w:rsid w:val="00A6305F"/>
    <w:rsid w:val="00A77334"/>
    <w:rsid w:val="00AA4FEF"/>
    <w:rsid w:val="00AB7DE9"/>
    <w:rsid w:val="00AF07AF"/>
    <w:rsid w:val="00B03084"/>
    <w:rsid w:val="00B04AD7"/>
    <w:rsid w:val="00B2333A"/>
    <w:rsid w:val="00B414E2"/>
    <w:rsid w:val="00B45FDF"/>
    <w:rsid w:val="00BA2A79"/>
    <w:rsid w:val="00BB0EBF"/>
    <w:rsid w:val="00BF4D8E"/>
    <w:rsid w:val="00C749A6"/>
    <w:rsid w:val="00C81BC1"/>
    <w:rsid w:val="00CD1D81"/>
    <w:rsid w:val="00D03737"/>
    <w:rsid w:val="00D145E2"/>
    <w:rsid w:val="00D551C3"/>
    <w:rsid w:val="00DF56DE"/>
    <w:rsid w:val="00E207AD"/>
    <w:rsid w:val="00E26D58"/>
    <w:rsid w:val="00E319ED"/>
    <w:rsid w:val="00F25268"/>
    <w:rsid w:val="00F92BE7"/>
    <w:rsid w:val="00FA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5CBBF-605F-4043-8C06-74C826DC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DF"/>
    <w:pPr>
      <w:ind w:left="720"/>
      <w:contextualSpacing/>
    </w:pPr>
  </w:style>
  <w:style w:type="paragraph" w:styleId="Header">
    <w:name w:val="header"/>
    <w:basedOn w:val="Normal"/>
    <w:link w:val="HeaderChar"/>
    <w:uiPriority w:val="99"/>
    <w:semiHidden/>
    <w:unhideWhenUsed/>
    <w:rsid w:val="00BA2A79"/>
    <w:pPr>
      <w:tabs>
        <w:tab w:val="center" w:pos="4680"/>
        <w:tab w:val="right" w:pos="9360"/>
      </w:tabs>
    </w:pPr>
  </w:style>
  <w:style w:type="character" w:customStyle="1" w:styleId="HeaderChar">
    <w:name w:val="Header Char"/>
    <w:basedOn w:val="DefaultParagraphFont"/>
    <w:link w:val="Header"/>
    <w:uiPriority w:val="99"/>
    <w:semiHidden/>
    <w:rsid w:val="00BA2A79"/>
  </w:style>
  <w:style w:type="paragraph" w:styleId="Footer">
    <w:name w:val="footer"/>
    <w:basedOn w:val="Normal"/>
    <w:link w:val="FooterChar"/>
    <w:uiPriority w:val="99"/>
    <w:unhideWhenUsed/>
    <w:rsid w:val="00BA2A79"/>
    <w:pPr>
      <w:tabs>
        <w:tab w:val="center" w:pos="4680"/>
        <w:tab w:val="right" w:pos="9360"/>
      </w:tabs>
    </w:pPr>
  </w:style>
  <w:style w:type="character" w:customStyle="1" w:styleId="FooterChar">
    <w:name w:val="Footer Char"/>
    <w:basedOn w:val="DefaultParagraphFont"/>
    <w:link w:val="Footer"/>
    <w:uiPriority w:val="99"/>
    <w:rsid w:val="00BA2A79"/>
  </w:style>
  <w:style w:type="character" w:styleId="Hyperlink">
    <w:name w:val="Hyperlink"/>
    <w:basedOn w:val="DefaultParagraphFont"/>
    <w:uiPriority w:val="99"/>
    <w:semiHidden/>
    <w:unhideWhenUsed/>
    <w:rsid w:val="000D7722"/>
    <w:rPr>
      <w:color w:val="0000FF"/>
      <w:u w:val="single"/>
    </w:rPr>
  </w:style>
  <w:style w:type="table" w:styleId="TableGrid">
    <w:name w:val="Table Grid"/>
    <w:basedOn w:val="TableNormal"/>
    <w:uiPriority w:val="59"/>
    <w:rsid w:val="002B553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cwhitt</dc:creator>
  <cp:lastModifiedBy>Mr. D</cp:lastModifiedBy>
  <cp:revision>2</cp:revision>
  <cp:lastPrinted>2016-03-24T15:04:00Z</cp:lastPrinted>
  <dcterms:created xsi:type="dcterms:W3CDTF">2016-04-12T00:31:00Z</dcterms:created>
  <dcterms:modified xsi:type="dcterms:W3CDTF">2016-04-12T00:31:00Z</dcterms:modified>
</cp:coreProperties>
</file>